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28" w:rsidRDefault="0050279B" w:rsidP="0050279B">
      <w:pPr>
        <w:spacing w:after="70"/>
        <w:ind w:right="43"/>
      </w:pPr>
      <w:r>
        <w:rPr>
          <w:sz w:val="46"/>
        </w:rPr>
        <w:t xml:space="preserve">  </w:t>
      </w:r>
      <w:r>
        <w:rPr>
          <w:sz w:val="46"/>
        </w:rPr>
        <w:t>AVALON WATER AND SEWER SERVICE CORP</w:t>
      </w:r>
    </w:p>
    <w:tbl>
      <w:tblPr>
        <w:tblStyle w:val="TableGrid"/>
        <w:tblW w:w="10597" w:type="dxa"/>
        <w:tblInd w:w="-14" w:type="dxa"/>
        <w:tblCellMar>
          <w:top w:w="3" w:type="dxa"/>
          <w:left w:w="0" w:type="dxa"/>
          <w:bottom w:w="2" w:type="dxa"/>
          <w:right w:w="0" w:type="dxa"/>
        </w:tblCellMar>
        <w:tblLook w:val="04A0" w:firstRow="1" w:lastRow="0" w:firstColumn="1" w:lastColumn="0" w:noHBand="0" w:noVBand="1"/>
      </w:tblPr>
      <w:tblGrid>
        <w:gridCol w:w="4892"/>
        <w:gridCol w:w="1779"/>
        <w:gridCol w:w="3926"/>
      </w:tblGrid>
      <w:tr w:rsidR="007D4428">
        <w:trPr>
          <w:trHeight w:val="1415"/>
        </w:trPr>
        <w:tc>
          <w:tcPr>
            <w:tcW w:w="4892" w:type="dxa"/>
            <w:tcBorders>
              <w:top w:val="nil"/>
              <w:left w:val="nil"/>
              <w:bottom w:val="nil"/>
              <w:right w:val="nil"/>
            </w:tcBorders>
          </w:tcPr>
          <w:p w:rsidR="007D4428" w:rsidRDefault="0050279B">
            <w:pPr>
              <w:spacing w:after="0"/>
              <w:ind w:left="7"/>
            </w:pPr>
            <w:r>
              <w:t>PO Box 70</w:t>
            </w:r>
          </w:p>
        </w:tc>
        <w:tc>
          <w:tcPr>
            <w:tcW w:w="1779" w:type="dxa"/>
            <w:tcBorders>
              <w:top w:val="nil"/>
              <w:left w:val="nil"/>
              <w:bottom w:val="nil"/>
              <w:right w:val="nil"/>
            </w:tcBorders>
            <w:vAlign w:val="bottom"/>
          </w:tcPr>
          <w:p w:rsidR="007D4428" w:rsidRDefault="0050279B">
            <w:pPr>
              <w:spacing w:after="0"/>
            </w:pPr>
            <w:r>
              <w:rPr>
                <w:sz w:val="30"/>
              </w:rPr>
              <w:t>AGENDA</w:t>
            </w:r>
          </w:p>
        </w:tc>
        <w:tc>
          <w:tcPr>
            <w:tcW w:w="3926" w:type="dxa"/>
            <w:tcBorders>
              <w:top w:val="nil"/>
              <w:left w:val="nil"/>
              <w:bottom w:val="nil"/>
              <w:right w:val="nil"/>
            </w:tcBorders>
          </w:tcPr>
          <w:p w:rsidR="007D4428" w:rsidRDefault="0050279B">
            <w:pPr>
              <w:spacing w:after="0"/>
              <w:ind w:right="108"/>
              <w:jc w:val="right"/>
            </w:pPr>
            <w:r>
              <w:t>Avalon, Texas 76623</w:t>
            </w:r>
          </w:p>
          <w:p w:rsidR="007D4428" w:rsidRDefault="0050279B">
            <w:pPr>
              <w:spacing w:after="0"/>
              <w:jc w:val="right"/>
            </w:pPr>
            <w:r>
              <w:t>Phone: 972-627-0044</w:t>
            </w:r>
          </w:p>
        </w:tc>
      </w:tr>
      <w:tr w:rsidR="007D4428">
        <w:trPr>
          <w:trHeight w:val="536"/>
        </w:trPr>
        <w:tc>
          <w:tcPr>
            <w:tcW w:w="4892" w:type="dxa"/>
            <w:tcBorders>
              <w:top w:val="nil"/>
              <w:left w:val="nil"/>
              <w:bottom w:val="nil"/>
              <w:right w:val="nil"/>
            </w:tcBorders>
            <w:vAlign w:val="center"/>
          </w:tcPr>
          <w:p w:rsidR="007D4428" w:rsidRDefault="0050279B">
            <w:pPr>
              <w:spacing w:after="0"/>
              <w:ind w:left="14"/>
            </w:pPr>
            <w:r>
              <w:rPr>
                <w:sz w:val="26"/>
                <w:u w:val="single" w:color="000000"/>
              </w:rPr>
              <w:t>Officers</w:t>
            </w:r>
          </w:p>
        </w:tc>
        <w:tc>
          <w:tcPr>
            <w:tcW w:w="1779" w:type="dxa"/>
            <w:tcBorders>
              <w:top w:val="nil"/>
              <w:left w:val="nil"/>
              <w:bottom w:val="nil"/>
              <w:right w:val="nil"/>
            </w:tcBorders>
          </w:tcPr>
          <w:p w:rsidR="007D4428" w:rsidRDefault="007D4428"/>
        </w:tc>
        <w:tc>
          <w:tcPr>
            <w:tcW w:w="3926" w:type="dxa"/>
            <w:tcBorders>
              <w:top w:val="nil"/>
              <w:left w:val="nil"/>
              <w:bottom w:val="nil"/>
              <w:right w:val="nil"/>
            </w:tcBorders>
            <w:vAlign w:val="center"/>
          </w:tcPr>
          <w:p w:rsidR="007D4428" w:rsidRDefault="0050279B">
            <w:pPr>
              <w:spacing w:after="0"/>
              <w:ind w:left="1282"/>
            </w:pPr>
            <w:r>
              <w:rPr>
                <w:sz w:val="26"/>
                <w:u w:val="single" w:color="000000"/>
              </w:rPr>
              <w:t>Directors</w:t>
            </w:r>
          </w:p>
        </w:tc>
      </w:tr>
      <w:tr w:rsidR="007D4428">
        <w:trPr>
          <w:trHeight w:val="492"/>
        </w:trPr>
        <w:tc>
          <w:tcPr>
            <w:tcW w:w="4892" w:type="dxa"/>
            <w:tcBorders>
              <w:top w:val="nil"/>
              <w:left w:val="nil"/>
              <w:bottom w:val="nil"/>
              <w:right w:val="nil"/>
            </w:tcBorders>
            <w:vAlign w:val="center"/>
          </w:tcPr>
          <w:p w:rsidR="007D4428" w:rsidRDefault="0050279B">
            <w:pPr>
              <w:spacing w:after="0"/>
              <w:ind w:left="22"/>
            </w:pPr>
            <w:r>
              <w:t>Kay Leamon, President</w:t>
            </w:r>
          </w:p>
        </w:tc>
        <w:tc>
          <w:tcPr>
            <w:tcW w:w="1779" w:type="dxa"/>
            <w:tcBorders>
              <w:top w:val="nil"/>
              <w:left w:val="nil"/>
              <w:bottom w:val="nil"/>
              <w:right w:val="nil"/>
            </w:tcBorders>
          </w:tcPr>
          <w:p w:rsidR="007D4428" w:rsidRDefault="007D4428"/>
        </w:tc>
        <w:tc>
          <w:tcPr>
            <w:tcW w:w="3926" w:type="dxa"/>
            <w:tcBorders>
              <w:top w:val="nil"/>
              <w:left w:val="nil"/>
              <w:bottom w:val="nil"/>
              <w:right w:val="nil"/>
            </w:tcBorders>
            <w:vAlign w:val="center"/>
          </w:tcPr>
          <w:p w:rsidR="007D4428" w:rsidRDefault="0050279B">
            <w:pPr>
              <w:spacing w:after="0"/>
              <w:ind w:right="86"/>
              <w:jc w:val="center"/>
            </w:pPr>
            <w:r>
              <w:t>David Waishes</w:t>
            </w:r>
          </w:p>
        </w:tc>
      </w:tr>
      <w:tr w:rsidR="007D4428">
        <w:trPr>
          <w:trHeight w:val="484"/>
        </w:trPr>
        <w:tc>
          <w:tcPr>
            <w:tcW w:w="4892" w:type="dxa"/>
            <w:tcBorders>
              <w:top w:val="nil"/>
              <w:left w:val="nil"/>
              <w:bottom w:val="nil"/>
              <w:right w:val="nil"/>
            </w:tcBorders>
            <w:vAlign w:val="center"/>
          </w:tcPr>
          <w:p w:rsidR="007D4428" w:rsidRDefault="0050279B">
            <w:pPr>
              <w:spacing w:after="0"/>
            </w:pPr>
            <w:r>
              <w:t>Jacob Carter, Vice-President</w:t>
            </w:r>
          </w:p>
        </w:tc>
        <w:tc>
          <w:tcPr>
            <w:tcW w:w="1779" w:type="dxa"/>
            <w:tcBorders>
              <w:top w:val="nil"/>
              <w:left w:val="nil"/>
              <w:bottom w:val="nil"/>
              <w:right w:val="nil"/>
            </w:tcBorders>
          </w:tcPr>
          <w:p w:rsidR="007D4428" w:rsidRDefault="007D4428"/>
        </w:tc>
        <w:tc>
          <w:tcPr>
            <w:tcW w:w="3926" w:type="dxa"/>
            <w:tcBorders>
              <w:top w:val="nil"/>
              <w:left w:val="nil"/>
              <w:bottom w:val="nil"/>
              <w:right w:val="nil"/>
            </w:tcBorders>
            <w:vAlign w:val="center"/>
          </w:tcPr>
          <w:p w:rsidR="007D4428" w:rsidRDefault="0050279B">
            <w:pPr>
              <w:spacing w:after="0"/>
              <w:ind w:right="209"/>
              <w:jc w:val="center"/>
            </w:pPr>
            <w:r>
              <w:t>Jimmy Brown</w:t>
            </w:r>
          </w:p>
        </w:tc>
      </w:tr>
      <w:tr w:rsidR="007D4428">
        <w:trPr>
          <w:trHeight w:val="357"/>
        </w:trPr>
        <w:tc>
          <w:tcPr>
            <w:tcW w:w="4892" w:type="dxa"/>
            <w:tcBorders>
              <w:top w:val="nil"/>
              <w:left w:val="nil"/>
              <w:bottom w:val="nil"/>
              <w:right w:val="nil"/>
            </w:tcBorders>
            <w:vAlign w:val="bottom"/>
          </w:tcPr>
          <w:p w:rsidR="007D4428" w:rsidRDefault="0050279B">
            <w:pPr>
              <w:spacing w:after="0"/>
              <w:ind w:left="14"/>
            </w:pPr>
            <w:r>
              <w:t>Robin Donaldson, Secretary/Treasurer</w:t>
            </w:r>
          </w:p>
        </w:tc>
        <w:tc>
          <w:tcPr>
            <w:tcW w:w="1779" w:type="dxa"/>
            <w:tcBorders>
              <w:top w:val="nil"/>
              <w:left w:val="nil"/>
              <w:bottom w:val="nil"/>
              <w:right w:val="nil"/>
            </w:tcBorders>
          </w:tcPr>
          <w:p w:rsidR="007D4428" w:rsidRDefault="007D4428"/>
        </w:tc>
        <w:tc>
          <w:tcPr>
            <w:tcW w:w="3926" w:type="dxa"/>
            <w:tcBorders>
              <w:top w:val="nil"/>
              <w:left w:val="nil"/>
              <w:bottom w:val="nil"/>
              <w:right w:val="nil"/>
            </w:tcBorders>
            <w:vAlign w:val="bottom"/>
          </w:tcPr>
          <w:p w:rsidR="007D4428" w:rsidRDefault="0050279B">
            <w:pPr>
              <w:spacing w:after="0"/>
              <w:ind w:left="22"/>
              <w:jc w:val="center"/>
            </w:pPr>
            <w:r>
              <w:t>Carson Hastings</w:t>
            </w:r>
          </w:p>
        </w:tc>
      </w:tr>
    </w:tbl>
    <w:p w:rsidR="007D4428" w:rsidRDefault="0050279B">
      <w:pPr>
        <w:spacing w:after="953"/>
        <w:ind w:right="1441"/>
        <w:jc w:val="right"/>
      </w:pPr>
      <w:r>
        <w:t>Matilda Williams</w:t>
      </w:r>
    </w:p>
    <w:p w:rsidR="007D4428" w:rsidRDefault="0050279B">
      <w:pPr>
        <w:pStyle w:val="Heading1"/>
      </w:pPr>
      <w:r>
        <w:t>Notice of Special Meeting for May 26.2016</w:t>
      </w:r>
    </w:p>
    <w:p w:rsidR="007D4428" w:rsidRDefault="0050279B">
      <w:pPr>
        <w:spacing w:after="256" w:line="262" w:lineRule="auto"/>
        <w:ind w:left="9" w:hanging="10"/>
      </w:pPr>
      <w:r>
        <w:t>To All Members:</w:t>
      </w:r>
      <w:bookmarkStart w:id="0" w:name="_GoBack"/>
      <w:bookmarkEnd w:id="0"/>
    </w:p>
    <w:p w:rsidR="007D4428" w:rsidRDefault="0050279B">
      <w:pPr>
        <w:spacing w:after="228" w:line="262" w:lineRule="auto"/>
        <w:ind w:left="9" w:hanging="10"/>
      </w:pPr>
      <w:r>
        <w:rPr>
          <w:noProof/>
        </w:rPr>
        <mc:AlternateContent>
          <mc:Choice Requires="wpg">
            <w:drawing>
              <wp:anchor distT="0" distB="0" distL="114300" distR="114300" simplePos="0" relativeHeight="251658240" behindDoc="0" locked="0" layoutInCell="1" allowOverlap="1">
                <wp:simplePos x="0" y="0"/>
                <wp:positionH relativeFrom="page">
                  <wp:posOffset>484917</wp:posOffset>
                </wp:positionH>
                <wp:positionV relativeFrom="page">
                  <wp:posOffset>854964</wp:posOffset>
                </wp:positionV>
                <wp:extent cx="6912359" cy="22860"/>
                <wp:effectExtent l="0" t="0" r="0" b="0"/>
                <wp:wrapTopAndBottom/>
                <wp:docPr id="4171" name="Group 4171"/>
                <wp:cNvGraphicFramePr/>
                <a:graphic xmlns:a="http://schemas.openxmlformats.org/drawingml/2006/main">
                  <a:graphicData uri="http://schemas.microsoft.com/office/word/2010/wordprocessingGroup">
                    <wpg:wgp>
                      <wpg:cNvGrpSpPr/>
                      <wpg:grpSpPr>
                        <a:xfrm>
                          <a:off x="0" y="0"/>
                          <a:ext cx="6912359" cy="22860"/>
                          <a:chOff x="0" y="0"/>
                          <a:chExt cx="6912359" cy="22860"/>
                        </a:xfrm>
                      </wpg:grpSpPr>
                      <wps:wsp>
                        <wps:cNvPr id="4170" name="Shape 4170"/>
                        <wps:cNvSpPr/>
                        <wps:spPr>
                          <a:xfrm>
                            <a:off x="0" y="0"/>
                            <a:ext cx="6912359" cy="22860"/>
                          </a:xfrm>
                          <a:custGeom>
                            <a:avLst/>
                            <a:gdLst/>
                            <a:ahLst/>
                            <a:cxnLst/>
                            <a:rect l="0" t="0" r="0" b="0"/>
                            <a:pathLst>
                              <a:path w="6912359" h="22860">
                                <a:moveTo>
                                  <a:pt x="0" y="11430"/>
                                </a:moveTo>
                                <a:lnTo>
                                  <a:pt x="6912359"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171" style="width:544.28pt;height:1.8pt;position:absolute;mso-position-horizontal-relative:page;mso-position-horizontal:absolute;margin-left:38.1825pt;mso-position-vertical-relative:page;margin-top:67.32pt;" coordsize="69123,228">
                <v:shape id="Shape 4170" style="position:absolute;width:69123;height:228;left:0;top:0;" coordsize="6912359,22860" path="m0,11430l6912359,11430">
                  <v:stroke weight="1.8pt" endcap="flat" joinstyle="miter" miterlimit="1" on="true" color="#000000"/>
                  <v:fill on="false" color="#000000"/>
                </v:shape>
                <w10:wrap type="topAndBottom"/>
              </v:group>
            </w:pict>
          </mc:Fallback>
        </mc:AlternateContent>
      </w:r>
      <w:r>
        <w:t>A special meeting of the Board of Directors of Avalon Water Supply and Sewer Service Corp will be held on Thursday, May 26, 2016 at 7:00 pm at the First Baptist Church, 206 Giles S</w:t>
      </w:r>
      <w:r>
        <w:t>t., Avalon, TX. The governing body of Avalon Water Supply and Sewer Service Corporation reserves the right to adjourn into closed/executive session at any time during the course of this meeting to discuss any of the matters listed in this agenda, in the or</w:t>
      </w:r>
      <w:r>
        <w:t>der deemed appropriate, and authorized by Texas Government Code 551, or to seek the advice of an attorney on any matter in which the duty of the attorney to Avalon Water Supply and Sewer Service Corporation board under Texas Disciplinary Rules of Professio</w:t>
      </w:r>
      <w:r>
        <w:t>nal Conduct of the State Bar of Texas clearly conflicts with Texas Government Code Chapter 551 or as otherwise may be permitted under 551.</w:t>
      </w:r>
    </w:p>
    <w:p w:rsidR="007D4428" w:rsidRDefault="0050279B">
      <w:pPr>
        <w:spacing w:after="430" w:line="262" w:lineRule="auto"/>
        <w:ind w:left="9" w:hanging="10"/>
      </w:pPr>
      <w:r>
        <w:t>The agenda for the meeting is as follows:</w:t>
      </w:r>
    </w:p>
    <w:p w:rsidR="007D4428" w:rsidRDefault="0050279B">
      <w:pPr>
        <w:tabs>
          <w:tab w:val="center" w:pos="447"/>
          <w:tab w:val="center" w:pos="2039"/>
        </w:tabs>
        <w:spacing w:after="3" w:line="262" w:lineRule="auto"/>
      </w:pPr>
      <w:r>
        <w:tab/>
      </w:r>
      <w:proofErr w:type="gramStart"/>
      <w:r>
        <w:t>l .</w:t>
      </w:r>
      <w:proofErr w:type="gramEnd"/>
      <w:r>
        <w:tab/>
      </w:r>
      <w:r>
        <w:t>Call meeting to order,</w:t>
      </w:r>
    </w:p>
    <w:p w:rsidR="007D4428" w:rsidRDefault="0050279B">
      <w:pPr>
        <w:numPr>
          <w:ilvl w:val="0"/>
          <w:numId w:val="1"/>
        </w:numPr>
        <w:spacing w:after="3" w:line="262" w:lineRule="auto"/>
        <w:ind w:left="1528" w:hanging="274"/>
      </w:pPr>
      <w:r>
        <w:t>Determine presence of a quorum.</w:t>
      </w:r>
    </w:p>
    <w:p w:rsidR="007D4428" w:rsidRDefault="0050279B">
      <w:pPr>
        <w:numPr>
          <w:ilvl w:val="0"/>
          <w:numId w:val="1"/>
        </w:numPr>
        <w:spacing w:after="3" w:line="262" w:lineRule="auto"/>
        <w:ind w:left="1528" w:hanging="274"/>
      </w:pPr>
      <w:r>
        <w:t>Declare notices legally posted pursuant to Open Meetings Act.</w:t>
      </w:r>
    </w:p>
    <w:p w:rsidR="007D4428" w:rsidRDefault="0050279B">
      <w:pPr>
        <w:spacing w:after="3" w:line="253" w:lineRule="auto"/>
        <w:ind w:left="543" w:right="50" w:hanging="10"/>
      </w:pPr>
      <w:r>
        <w:rPr>
          <w:sz w:val="24"/>
        </w:rPr>
        <w:t>Action Agenda: The Board reserves the right on all matters listed under this section to take action by motion and vote. Said action including but not limited to; Discuss, amend, table, approve o</w:t>
      </w:r>
      <w:r>
        <w:rPr>
          <w:sz w:val="24"/>
        </w:rPr>
        <w:t>r reject as is determined appropriate by the majority of the quorum.</w:t>
      </w:r>
    </w:p>
    <w:p w:rsidR="007D4428" w:rsidRDefault="0050279B">
      <w:pPr>
        <w:numPr>
          <w:ilvl w:val="0"/>
          <w:numId w:val="2"/>
        </w:numPr>
        <w:spacing w:after="3" w:line="253" w:lineRule="auto"/>
        <w:ind w:left="598" w:right="50" w:hanging="238"/>
      </w:pPr>
      <w:r>
        <w:rPr>
          <w:sz w:val="24"/>
        </w:rPr>
        <w:t>Close session under Section 551.071 Discussion and Possible Decisions on Gillespie PUC Complaint with Attorney.</w:t>
      </w:r>
    </w:p>
    <w:p w:rsidR="007D4428" w:rsidRDefault="0050279B">
      <w:pPr>
        <w:numPr>
          <w:ilvl w:val="0"/>
          <w:numId w:val="2"/>
        </w:numPr>
        <w:spacing w:after="3" w:line="253" w:lineRule="auto"/>
        <w:ind w:left="598" w:right="50" w:hanging="238"/>
      </w:pPr>
      <w:r>
        <w:rPr>
          <w:sz w:val="24"/>
        </w:rPr>
        <w:t>Possible Vote on Gillespie PUC Complaint Actions or Responses.</w:t>
      </w:r>
    </w:p>
    <w:p w:rsidR="007D4428" w:rsidRDefault="0050279B">
      <w:pPr>
        <w:numPr>
          <w:ilvl w:val="0"/>
          <w:numId w:val="2"/>
        </w:numPr>
        <w:spacing w:after="3" w:line="253" w:lineRule="auto"/>
        <w:ind w:left="598" w:right="50" w:hanging="238"/>
      </w:pPr>
      <w:r>
        <w:rPr>
          <w:sz w:val="24"/>
        </w:rPr>
        <w:t>Close sessio</w:t>
      </w:r>
      <w:r>
        <w:rPr>
          <w:sz w:val="24"/>
        </w:rPr>
        <w:t>n under Section 551.071 Discussion and Possible Decisions on Gillespie Easement Complaint with attorney.</w:t>
      </w:r>
    </w:p>
    <w:p w:rsidR="007D4428" w:rsidRDefault="0050279B">
      <w:pPr>
        <w:numPr>
          <w:ilvl w:val="0"/>
          <w:numId w:val="2"/>
        </w:numPr>
        <w:spacing w:after="3" w:line="253" w:lineRule="auto"/>
        <w:ind w:left="598" w:right="50" w:hanging="238"/>
      </w:pPr>
      <w:r>
        <w:rPr>
          <w:sz w:val="24"/>
        </w:rPr>
        <w:t>Possible Vote on Gillespie Easement Complaint Actions or Responses.</w:t>
      </w:r>
    </w:p>
    <w:p w:rsidR="007D4428" w:rsidRDefault="0050279B">
      <w:pPr>
        <w:numPr>
          <w:ilvl w:val="0"/>
          <w:numId w:val="2"/>
        </w:numPr>
        <w:spacing w:after="728" w:line="262" w:lineRule="auto"/>
        <w:ind w:left="598" w:right="50" w:hanging="238"/>
      </w:pPr>
      <w:r>
        <w:rPr>
          <w:noProof/>
        </w:rPr>
        <w:lastRenderedPageBreak/>
        <w:drawing>
          <wp:anchor distT="0" distB="0" distL="114300" distR="114300" simplePos="0" relativeHeight="251659264" behindDoc="0" locked="0" layoutInCell="1" allowOverlap="0">
            <wp:simplePos x="0" y="0"/>
            <wp:positionH relativeFrom="column">
              <wp:posOffset>1665188</wp:posOffset>
            </wp:positionH>
            <wp:positionV relativeFrom="paragraph">
              <wp:posOffset>-50711</wp:posOffset>
            </wp:positionV>
            <wp:extent cx="4968114" cy="1133856"/>
            <wp:effectExtent l="0" t="0" r="0" b="0"/>
            <wp:wrapSquare wrapText="bothSides"/>
            <wp:docPr id="4168" name="Picture 4168"/>
            <wp:cNvGraphicFramePr/>
            <a:graphic xmlns:a="http://schemas.openxmlformats.org/drawingml/2006/main">
              <a:graphicData uri="http://schemas.openxmlformats.org/drawingml/2006/picture">
                <pic:pic xmlns:pic="http://schemas.openxmlformats.org/drawingml/2006/picture">
                  <pic:nvPicPr>
                    <pic:cNvPr id="4168" name="Picture 4168"/>
                    <pic:cNvPicPr/>
                  </pic:nvPicPr>
                  <pic:blipFill>
                    <a:blip r:embed="rId5"/>
                    <a:stretch>
                      <a:fillRect/>
                    </a:stretch>
                  </pic:blipFill>
                  <pic:spPr>
                    <a:xfrm>
                      <a:off x="0" y="0"/>
                      <a:ext cx="4968114" cy="1133856"/>
                    </a:xfrm>
                    <a:prstGeom prst="rect">
                      <a:avLst/>
                    </a:prstGeom>
                  </pic:spPr>
                </pic:pic>
              </a:graphicData>
            </a:graphic>
          </wp:anchor>
        </w:drawing>
      </w:r>
      <w:r>
        <w:t>Adjournment.</w:t>
      </w:r>
    </w:p>
    <w:p w:rsidR="007D4428" w:rsidRDefault="0050279B">
      <w:pPr>
        <w:spacing w:after="3" w:line="262" w:lineRule="auto"/>
        <w:ind w:left="9" w:hanging="10"/>
      </w:pPr>
      <w:r>
        <w:t>Robin Donaldson, Sect-Treas.</w:t>
      </w:r>
    </w:p>
    <w:sectPr w:rsidR="007D4428">
      <w:pgSz w:w="12240" w:h="15840"/>
      <w:pgMar w:top="1433" w:right="605" w:bottom="1440" w:left="8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D7111"/>
    <w:multiLevelType w:val="hybridMultilevel"/>
    <w:tmpl w:val="E6200F4A"/>
    <w:lvl w:ilvl="0" w:tplc="E6F622B8">
      <w:start w:val="2"/>
      <w:numFmt w:val="decimal"/>
      <w:lvlText w:val="%1."/>
      <w:lvlJc w:val="left"/>
      <w:pPr>
        <w:ind w:left="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AC612">
      <w:start w:val="1"/>
      <w:numFmt w:val="lowerLetter"/>
      <w:lvlText w:val="%2"/>
      <w:lvlJc w:val="left"/>
      <w:pPr>
        <w:ind w:left="1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A4758">
      <w:start w:val="1"/>
      <w:numFmt w:val="lowerRoman"/>
      <w:lvlText w:val="%3"/>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633D6">
      <w:start w:val="1"/>
      <w:numFmt w:val="decimal"/>
      <w:lvlText w:val="%4"/>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F6CBBE">
      <w:start w:val="1"/>
      <w:numFmt w:val="lowerLetter"/>
      <w:lvlText w:val="%5"/>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6E5A4">
      <w:start w:val="1"/>
      <w:numFmt w:val="lowerRoman"/>
      <w:lvlText w:val="%6"/>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C84C2C">
      <w:start w:val="1"/>
      <w:numFmt w:val="decimal"/>
      <w:lvlText w:val="%7"/>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4D2B4">
      <w:start w:val="1"/>
      <w:numFmt w:val="lowerLetter"/>
      <w:lvlText w:val="%8"/>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216C8">
      <w:start w:val="1"/>
      <w:numFmt w:val="lowerRoman"/>
      <w:lvlText w:val="%9"/>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F30988"/>
    <w:multiLevelType w:val="hybridMultilevel"/>
    <w:tmpl w:val="A7B20116"/>
    <w:lvl w:ilvl="0" w:tplc="EB302098">
      <w:start w:val="1"/>
      <w:numFmt w:val="upperLetter"/>
      <w:lvlText w:val="%1."/>
      <w:lvlJc w:val="left"/>
      <w:pPr>
        <w:ind w:left="1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FA1890">
      <w:start w:val="1"/>
      <w:numFmt w:val="lowerLetter"/>
      <w:lvlText w:val="%2"/>
      <w:lvlJc w:val="left"/>
      <w:pPr>
        <w:ind w:left="2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C2902C">
      <w:start w:val="1"/>
      <w:numFmt w:val="lowerRoman"/>
      <w:lvlText w:val="%3"/>
      <w:lvlJc w:val="left"/>
      <w:pPr>
        <w:ind w:left="3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9678CA">
      <w:start w:val="1"/>
      <w:numFmt w:val="decimal"/>
      <w:lvlText w:val="%4"/>
      <w:lvlJc w:val="left"/>
      <w:pPr>
        <w:ind w:left="3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BEFA84">
      <w:start w:val="1"/>
      <w:numFmt w:val="lowerLetter"/>
      <w:lvlText w:val="%5"/>
      <w:lvlJc w:val="left"/>
      <w:pPr>
        <w:ind w:left="4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7235CE">
      <w:start w:val="1"/>
      <w:numFmt w:val="lowerRoman"/>
      <w:lvlText w:val="%6"/>
      <w:lvlJc w:val="left"/>
      <w:pPr>
        <w:ind w:left="5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321424">
      <w:start w:val="1"/>
      <w:numFmt w:val="decimal"/>
      <w:lvlText w:val="%7"/>
      <w:lvlJc w:val="left"/>
      <w:pPr>
        <w:ind w:left="5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3C5ED6">
      <w:start w:val="1"/>
      <w:numFmt w:val="lowerLetter"/>
      <w:lvlText w:val="%8"/>
      <w:lvlJc w:val="left"/>
      <w:pPr>
        <w:ind w:left="6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9AE676">
      <w:start w:val="1"/>
      <w:numFmt w:val="lowerRoman"/>
      <w:lvlText w:val="%9"/>
      <w:lvlJc w:val="left"/>
      <w:pPr>
        <w:ind w:left="7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28"/>
    <w:rsid w:val="0050279B"/>
    <w:rsid w:val="007D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B8BD"/>
  <w15:docId w15:val="{F7CA5050-D3B9-4233-908B-EA6673D2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10"/>
      <w:ind w:right="14"/>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Howell</dc:creator>
  <cp:keywords/>
  <cp:lastModifiedBy>Heather Howell</cp:lastModifiedBy>
  <cp:revision>3</cp:revision>
  <dcterms:created xsi:type="dcterms:W3CDTF">2016-05-23T21:29:00Z</dcterms:created>
  <dcterms:modified xsi:type="dcterms:W3CDTF">2016-05-23T21:29:00Z</dcterms:modified>
</cp:coreProperties>
</file>